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00" w:rsidRDefault="007A3800" w:rsidP="007A3800">
      <w:pPr>
        <w:ind w:left="1276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7A3800" w:rsidRPr="00F24C9E" w:rsidRDefault="007A3800" w:rsidP="007A3800">
      <w:pPr>
        <w:tabs>
          <w:tab w:val="left" w:pos="393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9E">
        <w:rPr>
          <w:rFonts w:ascii="Times New Roman" w:hAnsi="Times New Roman" w:cs="Times New Roman"/>
          <w:b/>
          <w:sz w:val="28"/>
          <w:szCs w:val="28"/>
        </w:rPr>
        <w:t>1 ИЮНЯ – МЕЖДУНАРОДНЫЙ ДЕНЬ ЗАЩИТЫ ДЕТЕЙ</w:t>
      </w:r>
    </w:p>
    <w:p w:rsidR="007A3800" w:rsidRPr="007A3800" w:rsidRDefault="007A3800" w:rsidP="007A3800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A3800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объявил о новых мерах поддержки семей с детьми — с 1 июня т.г. семьям с детьми от 3 до 16 лет выплатят по 10 000 рублей. </w:t>
      </w:r>
      <w:r w:rsidRPr="00CC4F43">
        <w:rPr>
          <w:rFonts w:ascii="Times New Roman" w:hAnsi="Times New Roman" w:cs="Times New Roman"/>
          <w:sz w:val="28"/>
          <w:szCs w:val="28"/>
        </w:rPr>
        <w:t xml:space="preserve">И </w:t>
      </w:r>
      <w:r w:rsidR="00CC4F43" w:rsidRPr="00CC4F43">
        <w:rPr>
          <w:rFonts w:ascii="Times New Roman" w:hAnsi="Times New Roman" w:cs="Times New Roman"/>
          <w:sz w:val="28"/>
          <w:szCs w:val="28"/>
        </w:rPr>
        <w:t xml:space="preserve">символично то, что </w:t>
      </w:r>
      <w:r w:rsidRPr="00CC4F43">
        <w:rPr>
          <w:rFonts w:ascii="Times New Roman" w:hAnsi="Times New Roman" w:cs="Times New Roman"/>
          <w:sz w:val="28"/>
          <w:szCs w:val="28"/>
        </w:rPr>
        <w:t>1</w:t>
      </w:r>
      <w:r w:rsidRPr="007A3800">
        <w:rPr>
          <w:rFonts w:ascii="Times New Roman" w:hAnsi="Times New Roman" w:cs="Times New Roman"/>
          <w:sz w:val="28"/>
          <w:szCs w:val="28"/>
        </w:rPr>
        <w:t xml:space="preserve"> июня – День защиты детей, который ставит своей целью защитить их интересы.</w:t>
      </w:r>
    </w:p>
    <w:p w:rsidR="007A3800" w:rsidRDefault="007A3800" w:rsidP="007A3800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C5FF1" w:rsidRDefault="008C5FF1" w:rsidP="008C5FF1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 итогам Всероссийской переписи</w:t>
      </w:r>
      <w:r w:rsidR="00E9101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населения 2010 года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F24C9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численность детей в возрасте</w:t>
      </w:r>
      <w:r w:rsidR="00E9101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F24C9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0-17 лет составила </w:t>
      </w:r>
      <w:r w:rsidRPr="00CC4F4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265,3 тыс. человек,</w:t>
      </w:r>
      <w:r w:rsidRPr="00F24C9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или 17,3% в общей численности населения области.</w:t>
      </w:r>
    </w:p>
    <w:p w:rsidR="00F33743" w:rsidRDefault="008C5FF1" w:rsidP="008C5FF1">
      <w:pPr>
        <w:pStyle w:val="a3"/>
        <w:suppressAutoHyphens/>
        <w:ind w:firstLine="709"/>
        <w:rPr>
          <w:color w:val="1D1B11" w:themeColor="background2" w:themeShade="1A"/>
          <w:szCs w:val="28"/>
          <w:lang w:val="ru-RU"/>
        </w:rPr>
      </w:pPr>
      <w:r>
        <w:rPr>
          <w:color w:val="1D1B11" w:themeColor="background2" w:themeShade="1A"/>
          <w:szCs w:val="28"/>
          <w:lang w:val="ru-RU"/>
        </w:rPr>
        <w:t>Число сем</w:t>
      </w:r>
      <w:r w:rsidRPr="007A3800">
        <w:rPr>
          <w:color w:val="1D1B11" w:themeColor="background2" w:themeShade="1A"/>
          <w:szCs w:val="28"/>
          <w:lang w:val="ru-RU"/>
        </w:rPr>
        <w:t>ей, имеющих несовершеннолетних детей</w:t>
      </w:r>
      <w:r>
        <w:rPr>
          <w:color w:val="1D1B11" w:themeColor="background2" w:themeShade="1A"/>
          <w:szCs w:val="28"/>
          <w:lang w:val="ru-RU"/>
        </w:rPr>
        <w:t>,</w:t>
      </w:r>
      <w:r w:rsidRPr="007A3800">
        <w:rPr>
          <w:color w:val="1D1B11" w:themeColor="background2" w:themeShade="1A"/>
          <w:szCs w:val="28"/>
          <w:lang w:val="ru-RU"/>
        </w:rPr>
        <w:t xml:space="preserve"> составило </w:t>
      </w:r>
      <w:r>
        <w:rPr>
          <w:color w:val="1D1B11" w:themeColor="background2" w:themeShade="1A"/>
          <w:szCs w:val="28"/>
          <w:lang w:val="ru-RU"/>
        </w:rPr>
        <w:t>п</w:t>
      </w:r>
      <w:r w:rsidRPr="007A3800">
        <w:rPr>
          <w:color w:val="1D1B11" w:themeColor="background2" w:themeShade="1A"/>
          <w:szCs w:val="28"/>
          <w:lang w:val="ru-RU"/>
        </w:rPr>
        <w:t xml:space="preserve">о данным переписи населения 2010 года в Белгородской </w:t>
      </w:r>
      <w:r>
        <w:rPr>
          <w:color w:val="1D1B11" w:themeColor="background2" w:themeShade="1A"/>
          <w:szCs w:val="28"/>
          <w:lang w:val="ru-RU"/>
        </w:rPr>
        <w:t xml:space="preserve">области </w:t>
      </w:r>
      <w:r w:rsidRPr="007A3800">
        <w:rPr>
          <w:color w:val="1D1B11" w:themeColor="background2" w:themeShade="1A"/>
          <w:szCs w:val="28"/>
          <w:lang w:val="ru-RU"/>
        </w:rPr>
        <w:t xml:space="preserve">185 тысяч. </w:t>
      </w:r>
      <w:r>
        <w:rPr>
          <w:color w:val="1D1B11" w:themeColor="background2" w:themeShade="1A"/>
          <w:szCs w:val="28"/>
          <w:lang w:val="ru-RU"/>
        </w:rPr>
        <w:t>При этом ч</w:t>
      </w:r>
      <w:r w:rsidRPr="007A3800">
        <w:rPr>
          <w:color w:val="1D1B11" w:themeColor="background2" w:themeShade="1A"/>
          <w:szCs w:val="28"/>
          <w:lang w:val="ru-RU"/>
        </w:rPr>
        <w:t>исло семей с одним ребенком составило</w:t>
      </w:r>
      <w:r w:rsidR="00F33743" w:rsidRPr="00F33743">
        <w:rPr>
          <w:color w:val="1D1B11" w:themeColor="background2" w:themeShade="1A"/>
          <w:szCs w:val="28"/>
          <w:lang w:val="ru-RU"/>
        </w:rPr>
        <w:t xml:space="preserve"> </w:t>
      </w:r>
      <w:r w:rsidRPr="007A3800">
        <w:rPr>
          <w:color w:val="1D1B11" w:themeColor="background2" w:themeShade="1A"/>
          <w:szCs w:val="28"/>
          <w:lang w:val="ru-RU"/>
        </w:rPr>
        <w:t>132 тысячи</w:t>
      </w:r>
      <w:r w:rsidR="00F33743">
        <w:rPr>
          <w:color w:val="1D1B11" w:themeColor="background2" w:themeShade="1A"/>
          <w:szCs w:val="28"/>
          <w:lang w:val="ru-RU"/>
        </w:rPr>
        <w:t xml:space="preserve">, или </w:t>
      </w:r>
      <w:r w:rsidR="00F33743" w:rsidRPr="00F33743">
        <w:rPr>
          <w:color w:val="1D1B11" w:themeColor="background2" w:themeShade="1A"/>
          <w:szCs w:val="28"/>
          <w:lang w:val="ru-RU"/>
        </w:rPr>
        <w:t>71</w:t>
      </w:r>
      <w:r w:rsidR="00F33743">
        <w:rPr>
          <w:color w:val="1D1B11" w:themeColor="background2" w:themeShade="1A"/>
          <w:szCs w:val="28"/>
          <w:lang w:val="ru-RU"/>
        </w:rPr>
        <w:t>,</w:t>
      </w:r>
      <w:r w:rsidR="00F33743" w:rsidRPr="00F33743">
        <w:rPr>
          <w:color w:val="1D1B11" w:themeColor="background2" w:themeShade="1A"/>
          <w:szCs w:val="28"/>
          <w:lang w:val="ru-RU"/>
        </w:rPr>
        <w:t>3%</w:t>
      </w:r>
      <w:r w:rsidR="00F33743">
        <w:rPr>
          <w:color w:val="1D1B11" w:themeColor="background2" w:themeShade="1A"/>
          <w:szCs w:val="28"/>
          <w:lang w:val="ru-RU"/>
        </w:rPr>
        <w:t xml:space="preserve"> среди семей, имеющих несовершеннолетних детей,</w:t>
      </w:r>
      <w:r w:rsidRPr="007A3800">
        <w:rPr>
          <w:color w:val="1D1B11" w:themeColor="background2" w:themeShade="1A"/>
          <w:szCs w:val="28"/>
          <w:lang w:val="ru-RU"/>
        </w:rPr>
        <w:t xml:space="preserve"> с двумя детьми – 45,9 тысячи</w:t>
      </w:r>
      <w:r w:rsidR="00F33743">
        <w:rPr>
          <w:color w:val="1D1B11" w:themeColor="background2" w:themeShade="1A"/>
          <w:szCs w:val="28"/>
          <w:lang w:val="ru-RU"/>
        </w:rPr>
        <w:t>, или 24,8%</w:t>
      </w:r>
      <w:r w:rsidRPr="007A3800">
        <w:rPr>
          <w:color w:val="1D1B11" w:themeColor="background2" w:themeShade="1A"/>
          <w:szCs w:val="28"/>
          <w:lang w:val="ru-RU"/>
        </w:rPr>
        <w:t>, с тремя и более детьми –</w:t>
      </w:r>
      <w:r w:rsidR="00F33743" w:rsidRPr="00F33743">
        <w:rPr>
          <w:color w:val="1D1B11" w:themeColor="background2" w:themeShade="1A"/>
          <w:szCs w:val="28"/>
          <w:lang w:val="ru-RU"/>
        </w:rPr>
        <w:t xml:space="preserve"> </w:t>
      </w:r>
      <w:r w:rsidRPr="007A3800">
        <w:rPr>
          <w:color w:val="1D1B11" w:themeColor="background2" w:themeShade="1A"/>
          <w:szCs w:val="28"/>
          <w:lang w:val="ru-RU"/>
        </w:rPr>
        <w:t>7,1 тысячи</w:t>
      </w:r>
      <w:r w:rsidR="00F33743">
        <w:rPr>
          <w:color w:val="1D1B11" w:themeColor="background2" w:themeShade="1A"/>
          <w:szCs w:val="28"/>
          <w:lang w:val="ru-RU"/>
        </w:rPr>
        <w:t>, или 3,8%</w:t>
      </w:r>
      <w:r w:rsidRPr="007A3800">
        <w:rPr>
          <w:color w:val="1D1B11" w:themeColor="background2" w:themeShade="1A"/>
          <w:szCs w:val="28"/>
          <w:lang w:val="ru-RU"/>
        </w:rPr>
        <w:t>.</w:t>
      </w:r>
    </w:p>
    <w:p w:rsidR="008C5FF1" w:rsidRPr="007A3800" w:rsidRDefault="008C5FF1" w:rsidP="008C5FF1">
      <w:pPr>
        <w:pStyle w:val="a3"/>
        <w:suppressAutoHyphens/>
        <w:ind w:firstLine="709"/>
        <w:rPr>
          <w:szCs w:val="28"/>
          <w:lang w:val="ru-RU"/>
        </w:rPr>
      </w:pPr>
      <w:r w:rsidRPr="007A3800">
        <w:rPr>
          <w:szCs w:val="28"/>
          <w:lang w:val="ru-RU"/>
        </w:rPr>
        <w:t xml:space="preserve">Среди молодых супружеских пар </w:t>
      </w:r>
      <w:r w:rsidR="00F33743" w:rsidRPr="00F33743">
        <w:rPr>
          <w:szCs w:val="28"/>
          <w:lang w:val="ru-RU"/>
        </w:rPr>
        <w:t>(</w:t>
      </w:r>
      <w:r w:rsidRPr="007A3800">
        <w:rPr>
          <w:szCs w:val="28"/>
          <w:lang w:val="ru-RU"/>
        </w:rPr>
        <w:t>до 35 лет) основную долю также составили семьи с 1 ребенком – 54,3%; с 2-мя детьми – 21,5%; с 3-мя и более детьми – 2,6%.</w:t>
      </w:r>
      <w:r w:rsidR="00F33743">
        <w:rPr>
          <w:szCs w:val="28"/>
          <w:lang w:val="ru-RU"/>
        </w:rPr>
        <w:t xml:space="preserve"> </w:t>
      </w:r>
      <w:r w:rsidRPr="007A3800">
        <w:rPr>
          <w:szCs w:val="28"/>
          <w:lang w:val="ru-RU"/>
        </w:rPr>
        <w:t>Доля молодых супружеских пар в возрасте до 35 лет, не имеющих детей, составила 21,6%, или более чем 1/5 часть от их общего числа.</w:t>
      </w:r>
    </w:p>
    <w:p w:rsidR="005D5923" w:rsidRPr="00C9572B" w:rsidRDefault="005D5923" w:rsidP="005D5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9572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Всероссийск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ая</w:t>
      </w:r>
      <w:r w:rsidRPr="00C9572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перепис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ь</w:t>
      </w:r>
      <w:r w:rsidRPr="00C9572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населения 20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10</w:t>
      </w:r>
      <w:r w:rsidRPr="00C9572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показала, что </w:t>
      </w:r>
      <w:r w:rsidRPr="00C9572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среднее число родившихся в расчете на 1000 женщин составило 1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451 ребенок, в том числе в </w:t>
      </w:r>
      <w:r w:rsidRPr="00C9572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городской местности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 1000 </w:t>
      </w:r>
      <w:r w:rsidRPr="00C9572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женщин приходи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тся</w:t>
      </w:r>
      <w:r w:rsidRPr="00C9572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1307 детей; в сельской местности –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C9572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1729 детей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5D5923" w:rsidRPr="00F24C9E" w:rsidRDefault="005D5923" w:rsidP="005D5923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</w:pPr>
      <w:r w:rsidRPr="00F24C9E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 xml:space="preserve">За время, прошедшее после Всероссийской переписи населения 2010 года </w:t>
      </w:r>
      <w:r w:rsidRPr="00F24C9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численность детей в возрасте 0-17 лет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выросла </w:t>
      </w:r>
      <w:r w:rsidR="00F151A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 области </w:t>
      </w:r>
      <w:r w:rsidRPr="00F24C9E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>на 25,4 тыс. детей</w:t>
      </w:r>
      <w:r w:rsidRPr="005D5923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 xml:space="preserve">и составила по предварительным данным на </w:t>
      </w:r>
      <w:r w:rsidRPr="00F24C9E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>1 января 2020 года</w:t>
      </w:r>
      <w:r w:rsidR="00F151AC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br/>
      </w:r>
      <w:r w:rsidRPr="00F24C9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290,7 тыс</w:t>
      </w:r>
      <w:r w:rsidR="00F151A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ячи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</w:p>
    <w:p w:rsidR="005D5923" w:rsidRPr="00F24C9E" w:rsidRDefault="005D5923" w:rsidP="005D5923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</w:pPr>
      <w:r w:rsidRPr="00F24C9E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 xml:space="preserve">детей в возрасте 0-17 лет </w:t>
      </w:r>
      <w:r w:rsidRPr="00F24C9E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 xml:space="preserve">в общей численности населения области </w: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 xml:space="preserve">также </w:t>
      </w:r>
      <w:r w:rsidR="00F151AC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>увеличилась</w:t>
      </w:r>
      <w:r w:rsidRPr="00F24C9E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 xml:space="preserve">и составила </w:t>
      </w:r>
      <w:r w:rsidRPr="00F24C9E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>на 1 января 2020 года</w: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 xml:space="preserve"> </w:t>
      </w:r>
      <w:r w:rsidRPr="00F24C9E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>18,8%.</w:t>
      </w:r>
    </w:p>
    <w:p w:rsidR="007A3800" w:rsidRDefault="007A3800" w:rsidP="007A380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</w:pPr>
      <w:r w:rsidRPr="00AE2234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w:t xml:space="preserve">Рост числа детей в возрастной структуре населения области обусловлен позитивными тенденциями, имевшими место на протяжении 10 лет, начиная с 2007 года, вследствие предпринятых правительством мер по стимулированию рождаемости (введение материнского капитала, </w:t>
      </w:r>
      <w:r w:rsidRPr="00AE2234">
        <w:rPr>
          <w:rFonts w:ascii="Times New Roman" w:hAnsi="Times New Roman" w:cs="Times New Roman"/>
          <w:sz w:val="28"/>
          <w:szCs w:val="28"/>
        </w:rPr>
        <w:t>развитие системы пособий в связи с рождением и воспитанием детей, обеспечение потребности семей в услугах дошкольного образования, доступность жилья для семей с детьми и т.п.).</w:t>
      </w:r>
    </w:p>
    <w:p w:rsidR="007A3800" w:rsidRPr="00AE2234" w:rsidRDefault="007A3800" w:rsidP="007A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34">
        <w:rPr>
          <w:rFonts w:ascii="Times New Roman" w:hAnsi="Times New Roman" w:cs="Times New Roman"/>
          <w:sz w:val="28"/>
          <w:szCs w:val="28"/>
        </w:rPr>
        <w:t xml:space="preserve">Начиная с 2017 года в динамике показателей рождаемости в области, как и в стране в целом, </w:t>
      </w:r>
      <w:r w:rsidR="00F151AC">
        <w:rPr>
          <w:rFonts w:ascii="Times New Roman" w:hAnsi="Times New Roman" w:cs="Times New Roman"/>
          <w:sz w:val="28"/>
          <w:szCs w:val="28"/>
        </w:rPr>
        <w:t>вновь наметилась</w:t>
      </w:r>
      <w:r w:rsidRPr="00AE2234">
        <w:rPr>
          <w:rFonts w:ascii="Times New Roman" w:hAnsi="Times New Roman" w:cs="Times New Roman"/>
          <w:sz w:val="28"/>
          <w:szCs w:val="28"/>
        </w:rPr>
        <w:t xml:space="preserve"> тенденция снижения числа родившихся, которая связана с вхождением в репродуктивный возраст малочисленных поколений женщин, родившихся в конце 90-х начале 2000-х годов.</w:t>
      </w:r>
    </w:p>
    <w:p w:rsidR="007A3800" w:rsidRPr="007A3800" w:rsidRDefault="007A3800" w:rsidP="007A3800">
      <w:pPr>
        <w:pStyle w:val="a3"/>
        <w:suppressAutoHyphens/>
        <w:ind w:firstLine="709"/>
        <w:rPr>
          <w:color w:val="1D1B11" w:themeColor="background2" w:themeShade="1A"/>
          <w:szCs w:val="28"/>
          <w:lang w:val="ru-RU"/>
        </w:rPr>
      </w:pPr>
      <w:r w:rsidRPr="007A3800">
        <w:rPr>
          <w:bCs/>
          <w:color w:val="1D1B11" w:themeColor="background2" w:themeShade="1A"/>
          <w:szCs w:val="28"/>
          <w:lang w:val="ru-RU"/>
        </w:rPr>
        <w:t>За 2019 год в области родилось 13183 ребенка, что</w:t>
      </w:r>
      <w:r w:rsidRPr="007A3800">
        <w:rPr>
          <w:color w:val="1D1B11" w:themeColor="background2" w:themeShade="1A"/>
          <w:szCs w:val="28"/>
          <w:lang w:val="ru-RU"/>
        </w:rPr>
        <w:t xml:space="preserve"> на 1,8 тысячи больше</w:t>
      </w:r>
      <w:r w:rsidRPr="007A3800">
        <w:rPr>
          <w:bCs/>
          <w:color w:val="1D1B11" w:themeColor="background2" w:themeShade="1A"/>
          <w:szCs w:val="28"/>
          <w:lang w:val="ru-RU"/>
        </w:rPr>
        <w:t xml:space="preserve"> по сравнению с 1999 годом – периодом самой низкой рождаемости в области.</w:t>
      </w:r>
      <w:r w:rsidRPr="007A3800">
        <w:rPr>
          <w:color w:val="1D1B11" w:themeColor="background2" w:themeShade="1A"/>
          <w:szCs w:val="28"/>
          <w:lang w:val="ru-RU"/>
        </w:rPr>
        <w:t xml:space="preserve"> Сложившийся в 2019 году общий коэффициент рождаемости составил 8,5 промилле против 7,6 промилле в 1999 году.</w:t>
      </w:r>
    </w:p>
    <w:p w:rsidR="00A15D4D" w:rsidRDefault="007A3800" w:rsidP="007A3800">
      <w:pPr>
        <w:pStyle w:val="a3"/>
        <w:suppressAutoHyphens/>
        <w:ind w:firstLine="709"/>
        <w:rPr>
          <w:color w:val="1D1B11" w:themeColor="background2" w:themeShade="1A"/>
          <w:szCs w:val="28"/>
          <w:lang w:val="ru-RU"/>
        </w:rPr>
      </w:pPr>
      <w:r w:rsidRPr="007A3800">
        <w:rPr>
          <w:color w:val="1D1B11" w:themeColor="background2" w:themeShade="1A"/>
          <w:szCs w:val="28"/>
          <w:lang w:val="ru-RU"/>
        </w:rPr>
        <w:lastRenderedPageBreak/>
        <w:t>При этом число первенцев составило 5476 детей (41,5% в общем числе родившихся), вторых детей – 5246 (39,8%), третьих и более</w:t>
      </w:r>
      <w:r w:rsidR="00A35A29" w:rsidRPr="00A35A29">
        <w:rPr>
          <w:color w:val="1D1B11" w:themeColor="background2" w:themeShade="1A"/>
          <w:szCs w:val="28"/>
          <w:lang w:val="ru-RU"/>
        </w:rPr>
        <w:t xml:space="preserve"> </w:t>
      </w:r>
      <w:r w:rsidR="00A35A29">
        <w:rPr>
          <w:color w:val="1D1B11" w:themeColor="background2" w:themeShade="1A"/>
          <w:szCs w:val="28"/>
          <w:lang w:val="ru-RU"/>
        </w:rPr>
        <w:t>детей</w:t>
      </w:r>
      <w:r w:rsidRPr="007A3800">
        <w:rPr>
          <w:color w:val="1D1B11" w:themeColor="background2" w:themeShade="1A"/>
          <w:szCs w:val="28"/>
          <w:lang w:val="ru-RU"/>
        </w:rPr>
        <w:t xml:space="preserve"> – 2439</w:t>
      </w:r>
      <w:r w:rsidR="00A35A29" w:rsidRPr="00A35A29">
        <w:rPr>
          <w:color w:val="1D1B11" w:themeColor="background2" w:themeShade="1A"/>
          <w:szCs w:val="28"/>
          <w:lang w:val="ru-RU"/>
        </w:rPr>
        <w:br/>
      </w:r>
      <w:r w:rsidRPr="007A3800">
        <w:rPr>
          <w:color w:val="1D1B11" w:themeColor="background2" w:themeShade="1A"/>
          <w:szCs w:val="28"/>
          <w:lang w:val="ru-RU"/>
        </w:rPr>
        <w:t>(18,7%)</w:t>
      </w:r>
      <w:r w:rsidR="00A15D4D">
        <w:rPr>
          <w:color w:val="1D1B11" w:themeColor="background2" w:themeShade="1A"/>
          <w:szCs w:val="28"/>
          <w:lang w:val="ru-RU"/>
        </w:rPr>
        <w:t>.</w:t>
      </w:r>
    </w:p>
    <w:p w:rsidR="00384E0E" w:rsidRDefault="00384E0E" w:rsidP="007A3800">
      <w:pPr>
        <w:pStyle w:val="a3"/>
        <w:suppressAutoHyphens/>
        <w:ind w:firstLine="709"/>
        <w:rPr>
          <w:color w:val="1D1B11" w:themeColor="background2" w:themeShade="1A"/>
          <w:szCs w:val="28"/>
          <w:lang w:val="ru-RU"/>
        </w:rPr>
      </w:pPr>
      <w:r>
        <w:rPr>
          <w:color w:val="1D1B11" w:themeColor="background2" w:themeShade="1A"/>
          <w:szCs w:val="28"/>
          <w:lang w:val="ru-RU"/>
        </w:rPr>
        <w:t xml:space="preserve">Однако по сравнению </w:t>
      </w:r>
      <w:r w:rsidR="00A15D4D">
        <w:rPr>
          <w:color w:val="1D1B11" w:themeColor="background2" w:themeShade="1A"/>
          <w:szCs w:val="28"/>
          <w:lang w:val="ru-RU"/>
        </w:rPr>
        <w:t>с 2018 годом в области родилось на 1134 ребенка меньше</w:t>
      </w:r>
      <w:r>
        <w:rPr>
          <w:color w:val="1D1B11" w:themeColor="background2" w:themeShade="1A"/>
          <w:szCs w:val="28"/>
          <w:lang w:val="ru-RU"/>
        </w:rPr>
        <w:t>. Число родившихся первенцев по сравнению с 2018 годом снизилось на 402 ребенка, а число вторых и более детей стало на 732 меньше.</w:t>
      </w:r>
    </w:p>
    <w:p w:rsidR="007A3800" w:rsidRPr="00C9572B" w:rsidRDefault="007A3800" w:rsidP="007A3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Поэтому сегодня г</w:t>
      </w:r>
      <w:r w:rsidRPr="00C9572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лавной задачей демографической политики и надеждой на увеличение численности детей остаются семьи, которые намерены заводить второго, третьего и последующих детей. </w:t>
      </w:r>
    </w:p>
    <w:p w:rsidR="007A3800" w:rsidRPr="00AE2234" w:rsidRDefault="007A3800" w:rsidP="007A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34">
        <w:rPr>
          <w:rFonts w:ascii="Times New Roman" w:hAnsi="Times New Roman" w:cs="Times New Roman"/>
          <w:sz w:val="28"/>
          <w:szCs w:val="28"/>
        </w:rPr>
        <w:t>Путь к решению проблемы – всесторонняя поддержка семей с детьми, повышение их благополучия, упрочение семейных устоев.</w:t>
      </w:r>
    </w:p>
    <w:p w:rsidR="00F151AC" w:rsidRDefault="00A35A29" w:rsidP="00C215D0">
      <w:pPr>
        <w:pStyle w:val="3"/>
        <w:suppressAutoHyphens/>
        <w:ind w:firstLine="709"/>
        <w:jc w:val="both"/>
        <w:rPr>
          <w:szCs w:val="28"/>
        </w:rPr>
      </w:pPr>
      <w:r w:rsidRPr="00E308C1">
        <w:rPr>
          <w:color w:val="1D1B11" w:themeColor="background2" w:themeShade="1A"/>
          <w:szCs w:val="28"/>
        </w:rPr>
        <w:t>В Белгородской области вопросы демографической и семейной политики сегодня, как и в целом в РФ, входят в число первостепенной важности.</w:t>
      </w:r>
      <w:r w:rsidR="00C215D0">
        <w:rPr>
          <w:color w:val="1D1B11" w:themeColor="background2" w:themeShade="1A"/>
          <w:szCs w:val="28"/>
        </w:rPr>
        <w:t xml:space="preserve"> </w:t>
      </w:r>
      <w:r w:rsidRPr="00AE2234">
        <w:rPr>
          <w:szCs w:val="28"/>
        </w:rPr>
        <w:t xml:space="preserve">Разработаны национальные проекты по </w:t>
      </w:r>
      <w:r w:rsidR="00F151AC">
        <w:rPr>
          <w:szCs w:val="28"/>
        </w:rPr>
        <w:t>основным</w:t>
      </w:r>
      <w:r w:rsidRPr="00AE2234">
        <w:rPr>
          <w:szCs w:val="28"/>
        </w:rPr>
        <w:t xml:space="preserve"> направлениям социально-экономического развития</w:t>
      </w:r>
      <w:r>
        <w:rPr>
          <w:szCs w:val="28"/>
        </w:rPr>
        <w:t>. Реализуется</w:t>
      </w:r>
      <w:r w:rsidR="007A3800" w:rsidRPr="00AE2234">
        <w:rPr>
          <w:szCs w:val="28"/>
        </w:rPr>
        <w:t xml:space="preserve"> региональный план мероприятий, проводимых в рамках Десятилетия детства, на 2018–2020 годы, утвержденный распоряжением Правительства Белгородской области от 10 сентября 2018 года № 476-рп</w:t>
      </w:r>
      <w:r w:rsidR="00C215D0">
        <w:rPr>
          <w:szCs w:val="28"/>
        </w:rPr>
        <w:t>.</w:t>
      </w:r>
    </w:p>
    <w:p w:rsidR="00A35A29" w:rsidRDefault="00C215D0" w:rsidP="00C215D0">
      <w:pPr>
        <w:pStyle w:val="3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Своевременное выполнение и в полном объеме поставленных задач позволит уже </w:t>
      </w:r>
      <w:r w:rsidR="00A35A29">
        <w:rPr>
          <w:szCs w:val="28"/>
        </w:rPr>
        <w:t>в ближайшее время улучшить демографическую ситуацию в регионе.</w:t>
      </w:r>
    </w:p>
    <w:p w:rsidR="00E308C1" w:rsidRPr="00C9572B" w:rsidRDefault="00E308C1" w:rsidP="00F151A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9572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Актуализированные данные о численности и структуре населения, тенденциях в рождаемости, о размере семьи и количестве детей в семьях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E308C1" w:rsidRPr="006E4D85" w:rsidRDefault="00E308C1" w:rsidP="00F151AC">
      <w:pPr>
        <w:spacing w:before="120"/>
        <w:ind w:firstLine="708"/>
        <w:jc w:val="both"/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6E4D85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6E4D85">
        <w:rPr>
          <w:rFonts w:ascii="Arial" w:hAnsi="Arial" w:cs="Arial"/>
          <w:i/>
          <w:color w:val="7F7F7F" w:themeColor="text1" w:themeTint="80"/>
          <w:sz w:val="24"/>
          <w:szCs w:val="24"/>
        </w:rPr>
        <w:t>Госуслуг</w:t>
      </w:r>
      <w:proofErr w:type="spellEnd"/>
      <w:r w:rsidRPr="006E4D85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A35A29" w:rsidRDefault="00A35A29" w:rsidP="007A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131C" w:rsidRDefault="000A131C" w:rsidP="007A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7EAD" w:rsidRPr="00500DC6" w:rsidRDefault="00B87EAD" w:rsidP="00F151AC">
      <w:pPr>
        <w:suppressAutoHyphens/>
        <w:spacing w:after="0" w:line="20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87EAD" w:rsidRPr="00500DC6" w:rsidSect="0006283E">
      <w:headerReference w:type="default" r:id="rId8"/>
      <w:pgSz w:w="11906" w:h="16838"/>
      <w:pgMar w:top="56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00" w:rsidRDefault="007A3800" w:rsidP="007A3800">
      <w:pPr>
        <w:spacing w:after="0" w:line="240" w:lineRule="auto"/>
      </w:pPr>
      <w:r>
        <w:separator/>
      </w:r>
    </w:p>
  </w:endnote>
  <w:endnote w:type="continuationSeparator" w:id="0">
    <w:p w:rsidR="007A3800" w:rsidRDefault="007A3800" w:rsidP="007A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00" w:rsidRDefault="007A3800" w:rsidP="007A3800">
      <w:pPr>
        <w:spacing w:after="0" w:line="240" w:lineRule="auto"/>
      </w:pPr>
      <w:r>
        <w:separator/>
      </w:r>
    </w:p>
  </w:footnote>
  <w:footnote w:type="continuationSeparator" w:id="0">
    <w:p w:rsidR="007A3800" w:rsidRDefault="007A3800" w:rsidP="007A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940089"/>
      <w:docPartObj>
        <w:docPartGallery w:val="Page Numbers (Top of Page)"/>
        <w:docPartUnique/>
      </w:docPartObj>
    </w:sdtPr>
    <w:sdtEndPr/>
    <w:sdtContent>
      <w:p w:rsidR="0006283E" w:rsidRDefault="000F0F85">
        <w:pPr>
          <w:pStyle w:val="ad"/>
          <w:jc w:val="center"/>
        </w:pPr>
        <w:r>
          <w:fldChar w:fldCharType="begin"/>
        </w:r>
        <w:r w:rsidR="0006283E">
          <w:instrText>PAGE   \* MERGEFORMAT</w:instrText>
        </w:r>
        <w:r>
          <w:fldChar w:fldCharType="separate"/>
        </w:r>
        <w:r w:rsidR="004770FD">
          <w:rPr>
            <w:noProof/>
          </w:rPr>
          <w:t>2</w:t>
        </w:r>
        <w:r>
          <w:fldChar w:fldCharType="end"/>
        </w:r>
      </w:p>
    </w:sdtContent>
  </w:sdt>
  <w:p w:rsidR="0006283E" w:rsidRDefault="0006283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10C"/>
    <w:rsid w:val="000315A4"/>
    <w:rsid w:val="00035F61"/>
    <w:rsid w:val="00051407"/>
    <w:rsid w:val="0006283E"/>
    <w:rsid w:val="000809A3"/>
    <w:rsid w:val="000A131C"/>
    <w:rsid w:val="000D66F2"/>
    <w:rsid w:val="000E4574"/>
    <w:rsid w:val="000E4C29"/>
    <w:rsid w:val="000F0F85"/>
    <w:rsid w:val="00140043"/>
    <w:rsid w:val="00162A53"/>
    <w:rsid w:val="001C22A6"/>
    <w:rsid w:val="001C4E41"/>
    <w:rsid w:val="00210159"/>
    <w:rsid w:val="002C7D2C"/>
    <w:rsid w:val="003568C7"/>
    <w:rsid w:val="00384E0E"/>
    <w:rsid w:val="003B34EA"/>
    <w:rsid w:val="00422169"/>
    <w:rsid w:val="00424A81"/>
    <w:rsid w:val="004770FD"/>
    <w:rsid w:val="004C0136"/>
    <w:rsid w:val="00500DC6"/>
    <w:rsid w:val="0055479A"/>
    <w:rsid w:val="0055643E"/>
    <w:rsid w:val="005D5923"/>
    <w:rsid w:val="006743E7"/>
    <w:rsid w:val="006F2E82"/>
    <w:rsid w:val="0075401E"/>
    <w:rsid w:val="00772831"/>
    <w:rsid w:val="0077517E"/>
    <w:rsid w:val="007951AB"/>
    <w:rsid w:val="007A3800"/>
    <w:rsid w:val="007B225E"/>
    <w:rsid w:val="007E1E97"/>
    <w:rsid w:val="007E3128"/>
    <w:rsid w:val="007F0772"/>
    <w:rsid w:val="00801A87"/>
    <w:rsid w:val="00805BB7"/>
    <w:rsid w:val="00810478"/>
    <w:rsid w:val="00824FDD"/>
    <w:rsid w:val="008956AB"/>
    <w:rsid w:val="008C5FF1"/>
    <w:rsid w:val="008E667D"/>
    <w:rsid w:val="0090317A"/>
    <w:rsid w:val="00946413"/>
    <w:rsid w:val="009533F0"/>
    <w:rsid w:val="00963643"/>
    <w:rsid w:val="009C002C"/>
    <w:rsid w:val="00A15D4D"/>
    <w:rsid w:val="00A35A29"/>
    <w:rsid w:val="00A61B17"/>
    <w:rsid w:val="00A869AB"/>
    <w:rsid w:val="00A90C4A"/>
    <w:rsid w:val="00B44767"/>
    <w:rsid w:val="00B84B59"/>
    <w:rsid w:val="00B86A7B"/>
    <w:rsid w:val="00B87EAD"/>
    <w:rsid w:val="00B9148D"/>
    <w:rsid w:val="00BA0171"/>
    <w:rsid w:val="00BD7B64"/>
    <w:rsid w:val="00C215D0"/>
    <w:rsid w:val="00C34BF3"/>
    <w:rsid w:val="00C76FDA"/>
    <w:rsid w:val="00CC4F43"/>
    <w:rsid w:val="00D450D6"/>
    <w:rsid w:val="00D7499B"/>
    <w:rsid w:val="00D7710C"/>
    <w:rsid w:val="00D8095B"/>
    <w:rsid w:val="00DF7484"/>
    <w:rsid w:val="00E022E6"/>
    <w:rsid w:val="00E308C1"/>
    <w:rsid w:val="00E61F95"/>
    <w:rsid w:val="00E72362"/>
    <w:rsid w:val="00E91019"/>
    <w:rsid w:val="00ED4871"/>
    <w:rsid w:val="00ED784F"/>
    <w:rsid w:val="00F151AC"/>
    <w:rsid w:val="00F33743"/>
    <w:rsid w:val="00F75B19"/>
    <w:rsid w:val="00F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A87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801A8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01A87"/>
    <w:pPr>
      <w:spacing w:after="0" w:line="240" w:lineRule="auto"/>
      <w:ind w:firstLine="45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0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801A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A8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24A81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5F6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464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6413"/>
  </w:style>
  <w:style w:type="character" w:customStyle="1" w:styleId="aa">
    <w:name w:val="Текст сноски Знак"/>
    <w:aliases w:val="Texto de nota al pie Знак,Текст сноски Знак Знак Знак,Текст сноски-FN Знак,Footnote Text Char Знак Знак Знак,Footnote Text Char Знак Знак1,Oaeno niinee-FN Знак,Oaeno niinee Ciae Знак,Table_Footnote_last Знак,single space Знак"/>
    <w:basedOn w:val="a0"/>
    <w:link w:val="ab"/>
    <w:semiHidden/>
    <w:locked/>
    <w:rsid w:val="007A3800"/>
  </w:style>
  <w:style w:type="paragraph" w:styleId="ab">
    <w:name w:val="footnote text"/>
    <w:aliases w:val="Texto de nota al pie,Текст сноски Знак Знак,Текст сноски-FN,Footnote Text Char Знак Знак,Footnote Text Char Знак,Oaeno niinee-FN,Oaeno niinee Ciae,Table_Footnote_last,single space"/>
    <w:basedOn w:val="a"/>
    <w:link w:val="aa"/>
    <w:semiHidden/>
    <w:unhideWhenUsed/>
    <w:rsid w:val="007A3800"/>
    <w:pPr>
      <w:spacing w:after="0" w:line="240" w:lineRule="auto"/>
    </w:pPr>
  </w:style>
  <w:style w:type="character" w:customStyle="1" w:styleId="10">
    <w:name w:val="Текст сноски Знак1"/>
    <w:basedOn w:val="a0"/>
    <w:uiPriority w:val="99"/>
    <w:semiHidden/>
    <w:rsid w:val="007A3800"/>
    <w:rPr>
      <w:sz w:val="20"/>
      <w:szCs w:val="20"/>
    </w:rPr>
  </w:style>
  <w:style w:type="character" w:styleId="ac">
    <w:name w:val="footnote reference"/>
    <w:aliases w:val="Referencia nota al pie,Знак сноски 1,Знак сноски-FN,Ciae niinee-FN"/>
    <w:basedOn w:val="a0"/>
    <w:semiHidden/>
    <w:unhideWhenUsed/>
    <w:rsid w:val="007A380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6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283E"/>
  </w:style>
  <w:style w:type="paragraph" w:styleId="af">
    <w:name w:val="footer"/>
    <w:basedOn w:val="a"/>
    <w:link w:val="af0"/>
    <w:uiPriority w:val="99"/>
    <w:unhideWhenUsed/>
    <w:rsid w:val="0006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2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C26C-AFCB-42BA-9C90-282B358B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P31_VPN05</cp:lastModifiedBy>
  <cp:revision>4</cp:revision>
  <cp:lastPrinted>2020-05-29T10:06:00Z</cp:lastPrinted>
  <dcterms:created xsi:type="dcterms:W3CDTF">2020-06-01T05:46:00Z</dcterms:created>
  <dcterms:modified xsi:type="dcterms:W3CDTF">2020-06-01T07:11:00Z</dcterms:modified>
</cp:coreProperties>
</file>